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3E6F8328" w14:textId="77777777" w:rsidR="00994572" w:rsidRPr="00741AF0" w:rsidRDefault="00994572" w:rsidP="009945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FORNITURA, MEDIANTE AFFIDAMENTO DIRETTO EX ART. 50, COMMA 1, LETTERA B) DEL D. LGS. N.36/2023, DI </w:t>
      </w:r>
      <w:r w:rsidRPr="003F2D2D">
        <w:rPr>
          <w:rFonts w:asciiTheme="majorHAnsi" w:hAnsiTheme="majorHAnsi" w:cstheme="majorHAnsi"/>
          <w:b/>
          <w:bCs/>
          <w:sz w:val="26"/>
          <w:szCs w:val="26"/>
        </w:rPr>
        <w:t>ATTREZZATURE BIOTECH NECESSARIE ALLA REALIZZAZIONE DI UN LABORATORIO DI BIOLOGIA MOLECOLARE</w:t>
      </w:r>
      <w:r>
        <w:rPr>
          <w:rFonts w:asciiTheme="majorHAnsi" w:hAnsiTheme="majorHAnsi" w:cstheme="majorHAnsi"/>
          <w:sz w:val="26"/>
          <w:szCs w:val="26"/>
        </w:rPr>
        <w:t>,</w:t>
      </w:r>
      <w:r w:rsidRPr="00741AF0">
        <w:rPr>
          <w:rFonts w:asciiTheme="majorHAnsi" w:hAnsiTheme="majorHAnsi" w:cstheme="majorHAnsi"/>
          <w:sz w:val="26"/>
          <w:szCs w:val="26"/>
        </w:rPr>
        <w:t xml:space="preserve"> PREVIST</w:t>
      </w:r>
      <w:r>
        <w:rPr>
          <w:rFonts w:asciiTheme="majorHAnsi" w:hAnsiTheme="majorHAnsi" w:cstheme="majorHAnsi"/>
          <w:sz w:val="26"/>
          <w:szCs w:val="26"/>
        </w:rPr>
        <w:t>O</w:t>
      </w:r>
      <w:r w:rsidRPr="00741AF0">
        <w:rPr>
          <w:rFonts w:asciiTheme="majorHAnsi" w:hAnsiTheme="majorHAnsi" w:cstheme="majorHAnsi"/>
          <w:sz w:val="26"/>
          <w:szCs w:val="26"/>
        </w:rPr>
        <w:t xml:space="preserve"> NELL’AMBITO DEL PROGETTO </w:t>
      </w:r>
      <w:bookmarkStart w:id="0" w:name="_Hlk156325073"/>
      <w:r w:rsidRPr="00741AF0">
        <w:rPr>
          <w:rFonts w:asciiTheme="majorHAnsi" w:hAnsiTheme="majorHAnsi" w:cstheme="majorHAnsi"/>
          <w:sz w:val="26"/>
          <w:szCs w:val="26"/>
        </w:rPr>
        <w:t xml:space="preserve">DENOMINATO </w:t>
      </w:r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</w:t>
      </w:r>
      <w:r w:rsidRPr="00741AF0">
        <w:rPr>
          <w:rFonts w:ascii="MS Gothic" w:eastAsia="MS Gothic" w:hAnsi="MS Gothic" w:cs="MS Gothic" w:hint="eastAsia"/>
          <w:sz w:val="26"/>
          <w:szCs w:val="26"/>
        </w:rPr>
        <w:t> </w:t>
      </w:r>
      <w:r w:rsidRPr="00741AF0">
        <w:rPr>
          <w:rFonts w:asciiTheme="majorHAnsi" w:hAnsiTheme="majorHAnsi" w:cstheme="majorHAnsi"/>
          <w:sz w:val="26"/>
          <w:szCs w:val="26"/>
        </w:rPr>
        <w:t xml:space="preserve">- COMPONENTE 1 </w:t>
      </w:r>
      <w:r w:rsidRPr="00741AF0">
        <w:rPr>
          <w:rFonts w:ascii="Calibri Light" w:hAnsi="Calibri Light" w:cs="Calibri Light"/>
          <w:sz w:val="26"/>
          <w:szCs w:val="26"/>
        </w:rPr>
        <w:t>–</w:t>
      </w:r>
      <w:r w:rsidRPr="00741AF0">
        <w:rPr>
          <w:rFonts w:asciiTheme="majorHAnsi" w:hAnsiTheme="majorHAnsi" w:cstheme="majorHAnsi"/>
          <w:sz w:val="26"/>
          <w:szCs w:val="26"/>
        </w:rPr>
        <w:t xml:space="preserve"> POTENZIAMENTO DELL</w:t>
      </w:r>
      <w:r w:rsidRPr="00741AF0">
        <w:rPr>
          <w:rFonts w:ascii="Calibri Light" w:hAnsi="Calibri Light" w:cs="Calibri Light"/>
          <w:sz w:val="26"/>
          <w:szCs w:val="26"/>
        </w:rPr>
        <w:t>’</w:t>
      </w:r>
      <w:r w:rsidRPr="00741AF0">
        <w:rPr>
          <w:rFonts w:asciiTheme="majorHAnsi" w:hAnsiTheme="majorHAnsi" w:cstheme="majorHAnsi"/>
          <w:sz w:val="26"/>
          <w:szCs w:val="26"/>
        </w:rPr>
        <w:t>OFFERTA DEI SERVIZI DI ISTRUZIONE: DAGLI ASILI NIDO ALLE UNIVERSIT</w:t>
      </w:r>
      <w:r w:rsidRPr="00741AF0">
        <w:rPr>
          <w:rFonts w:ascii="Calibri Light" w:hAnsi="Calibri Light" w:cs="Calibri Light"/>
          <w:sz w:val="26"/>
          <w:szCs w:val="26"/>
        </w:rPr>
        <w:t>À</w:t>
      </w:r>
      <w:r w:rsidRPr="00741AF0">
        <w:rPr>
          <w:rFonts w:asciiTheme="majorHAnsi" w:hAnsiTheme="majorHAnsi" w:cstheme="majorHAnsi"/>
          <w:sz w:val="26"/>
          <w:szCs w:val="26"/>
        </w:rPr>
        <w:t xml:space="preserve"> INVESTIMENTO 1.5 </w:t>
      </w:r>
      <w:r w:rsidRPr="00741AF0">
        <w:rPr>
          <w:rFonts w:ascii="Calibri Light" w:hAnsi="Calibri Light" w:cs="Calibri Light"/>
          <w:sz w:val="26"/>
          <w:szCs w:val="26"/>
        </w:rPr>
        <w:t>“</w:t>
      </w:r>
      <w:r w:rsidRPr="00741AF0">
        <w:rPr>
          <w:rFonts w:asciiTheme="majorHAnsi" w:hAnsiTheme="majorHAnsi" w:cstheme="majorHAnsi"/>
          <w:sz w:val="26"/>
          <w:szCs w:val="26"/>
        </w:rPr>
        <w:t>SVILUPPO DEL SISTEMA DI FORMAZIONE PROFESSIONALE TERZIARIA (ITS)</w:t>
      </w:r>
      <w:r w:rsidRPr="00741AF0">
        <w:rPr>
          <w:rFonts w:ascii="Calibri Light" w:hAnsi="Calibri Light" w:cs="Calibri Light"/>
          <w:sz w:val="26"/>
          <w:szCs w:val="26"/>
        </w:rPr>
        <w:t>”</w:t>
      </w:r>
      <w:r w:rsidRPr="00741AF0">
        <w:rPr>
          <w:rFonts w:asciiTheme="majorHAnsi" w:hAnsiTheme="majorHAnsi" w:cstheme="majorHAnsi"/>
          <w:sz w:val="26"/>
          <w:szCs w:val="26"/>
        </w:rPr>
        <w:t xml:space="preserve"> AZIONE </w:t>
      </w:r>
      <w:r w:rsidRPr="00741AF0">
        <w:rPr>
          <w:rFonts w:ascii="Calibri Light" w:hAnsi="Calibri Light" w:cs="Calibri Light"/>
          <w:sz w:val="26"/>
          <w:szCs w:val="26"/>
        </w:rPr>
        <w:t>“</w:t>
      </w:r>
      <w:r w:rsidRPr="00741AF0">
        <w:rPr>
          <w:rFonts w:asciiTheme="majorHAnsi" w:hAnsiTheme="majorHAnsi" w:cstheme="majorHAnsi"/>
          <w:sz w:val="26"/>
          <w:szCs w:val="26"/>
        </w:rPr>
        <w:t>POTENZIAMENTO DI ULTERIORI LABORATORI ITS ACADEMY</w:t>
      </w:r>
      <w:r w:rsidRPr="00741AF0">
        <w:rPr>
          <w:rFonts w:ascii="Calibri Light" w:hAnsi="Calibri Light" w:cs="Calibri Light"/>
          <w:sz w:val="26"/>
          <w:szCs w:val="26"/>
        </w:rPr>
        <w:t>”</w:t>
      </w:r>
      <w:r w:rsidRPr="00741AF0">
        <w:rPr>
          <w:rFonts w:asciiTheme="majorHAnsi" w:hAnsiTheme="majorHAnsi" w:cstheme="majorHAnsi"/>
          <w:sz w:val="26"/>
          <w:szCs w:val="26"/>
        </w:rPr>
        <w:t xml:space="preserve">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gramStart"/>
      <w:r w:rsidRPr="006B4AB0">
        <w:rPr>
          <w:rFonts w:asciiTheme="majorHAnsi" w:hAnsiTheme="majorHAnsi" w:cstheme="majorHAnsi"/>
          <w:szCs w:val="24"/>
        </w:rPr>
        <w:t xml:space="preserve">a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0BF6C6C5" w:rsidR="000F5F04" w:rsidRDefault="00455DAA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</w:t>
      </w:r>
      <w:r w:rsidR="000F5F04" w:rsidRPr="006B4AB0">
        <w:rPr>
          <w:rFonts w:asciiTheme="majorHAnsi" w:hAnsiTheme="majorHAnsi" w:cstheme="majorHAnsi"/>
          <w:szCs w:val="24"/>
        </w:rPr>
        <w:t xml:space="preserve">utocertificazione mediante </w:t>
      </w:r>
      <w:r w:rsidR="000F5F04" w:rsidRPr="001074D3">
        <w:rPr>
          <w:rFonts w:asciiTheme="majorHAnsi" w:hAnsiTheme="majorHAnsi" w:cstheme="majorHAnsi"/>
          <w:b/>
          <w:szCs w:val="24"/>
        </w:rPr>
        <w:t>DGUE</w:t>
      </w:r>
      <w:r w:rsidR="000F5F04" w:rsidRPr="006B4AB0">
        <w:rPr>
          <w:rFonts w:asciiTheme="majorHAnsi" w:hAnsiTheme="majorHAnsi" w:cstheme="majorHAnsi"/>
          <w:szCs w:val="24"/>
        </w:rPr>
        <w:t xml:space="preserve"> (</w:t>
      </w:r>
      <w:r w:rsidR="00F60DE4" w:rsidRPr="006B4AB0">
        <w:rPr>
          <w:rFonts w:asciiTheme="majorHAnsi" w:hAnsiTheme="majorHAnsi" w:cstheme="majorHAnsi"/>
          <w:szCs w:val="24"/>
        </w:rPr>
        <w:t xml:space="preserve">Documento </w:t>
      </w:r>
      <w:r w:rsidR="00F60DE4">
        <w:rPr>
          <w:rFonts w:asciiTheme="majorHAnsi" w:hAnsiTheme="majorHAnsi" w:cstheme="majorHAnsi"/>
          <w:szCs w:val="24"/>
        </w:rPr>
        <w:t>d</w:t>
      </w:r>
      <w:r w:rsidR="00F60DE4" w:rsidRPr="006B4AB0">
        <w:rPr>
          <w:rFonts w:asciiTheme="majorHAnsi" w:hAnsiTheme="majorHAnsi" w:cstheme="majorHAnsi"/>
          <w:szCs w:val="24"/>
        </w:rPr>
        <w:t>i Gara Unico Europeo</w:t>
      </w:r>
      <w:r w:rsidR="000F5F04" w:rsidRPr="006B4AB0">
        <w:rPr>
          <w:rFonts w:asciiTheme="majorHAnsi" w:hAnsiTheme="majorHAnsi" w:cstheme="majorHAnsi"/>
          <w:szCs w:val="24"/>
        </w:rPr>
        <w:t>)</w:t>
      </w:r>
      <w:r w:rsidR="001074D3">
        <w:rPr>
          <w:rFonts w:asciiTheme="majorHAnsi" w:hAnsiTheme="majorHAnsi" w:cstheme="majorHAnsi"/>
          <w:szCs w:val="24"/>
        </w:rPr>
        <w:t>;</w:t>
      </w:r>
    </w:p>
    <w:p w14:paraId="0F43667C" w14:textId="59171A3A" w:rsidR="001074D3" w:rsidRDefault="00455DAA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</w:t>
      </w:r>
      <w:r w:rsidR="001074D3">
        <w:rPr>
          <w:rFonts w:asciiTheme="majorHAnsi" w:hAnsiTheme="majorHAnsi" w:cstheme="majorHAnsi"/>
          <w:szCs w:val="24"/>
        </w:rPr>
        <w:t xml:space="preserve">isura camerale </w:t>
      </w:r>
      <w:r>
        <w:rPr>
          <w:rFonts w:asciiTheme="majorHAnsi" w:hAnsiTheme="majorHAnsi" w:cstheme="majorHAnsi"/>
          <w:szCs w:val="24"/>
        </w:rPr>
        <w:t>aggiornata;</w:t>
      </w:r>
    </w:p>
    <w:p w14:paraId="5AE8B7A9" w14:textId="5D1B6475" w:rsidR="00455DAA" w:rsidRPr="00F60DE4" w:rsidRDefault="00455DAA" w:rsidP="00455DAA">
      <w:pPr>
        <w:pStyle w:val="Corpotesto"/>
        <w:numPr>
          <w:ilvl w:val="0"/>
          <w:numId w:val="10"/>
        </w:numPr>
        <w:spacing w:after="240" w:line="276" w:lineRule="auto"/>
        <w:ind w:left="470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Preventivo economico.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A9631F">
        <w:rPr>
          <w:rFonts w:asciiTheme="majorHAnsi" w:hAnsiTheme="majorHAnsi" w:cstheme="majorHAnsi"/>
          <w:b/>
          <w:bCs/>
        </w:rPr>
        <w:t>di essere</w:t>
      </w:r>
      <w:r w:rsidRPr="006B4AB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A9631F">
        <w:rPr>
          <w:rFonts w:asciiTheme="majorHAnsi" w:hAnsiTheme="majorHAnsi" w:cstheme="majorHAnsi"/>
          <w:b/>
          <w:bCs/>
        </w:rPr>
        <w:t>di non essere</w:t>
      </w:r>
      <w:r w:rsidRPr="006B4AB0">
        <w:rPr>
          <w:rFonts w:asciiTheme="majorHAnsi" w:hAnsiTheme="majorHAnsi" w:cstheme="majorHAnsi"/>
        </w:rPr>
        <w:t xml:space="preserve">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lastRenderedPageBreak/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993D4F2" w14:textId="77777777" w:rsidR="00455DAA" w:rsidRDefault="00455DAA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</w:p>
    <w:p w14:paraId="0389DC4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AD4667C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B0FD8D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09FEBEC6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0CE95F6A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6FFE22CC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il conferimento dei dati costituisce un obbligo legale necessario per la partecipazione alla </w:t>
      </w:r>
      <w:r w:rsidRPr="006B4AB0">
        <w:rPr>
          <w:rFonts w:asciiTheme="majorHAnsi" w:hAnsiTheme="majorHAnsi" w:cstheme="majorHAnsi"/>
        </w:rPr>
        <w:lastRenderedPageBreak/>
        <w:t>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9FBC" w14:textId="77777777" w:rsidR="0048193B" w:rsidRDefault="0048193B" w:rsidP="000849D9">
      <w:pPr>
        <w:spacing w:after="0" w:line="240" w:lineRule="auto"/>
      </w:pPr>
      <w:r>
        <w:separator/>
      </w:r>
    </w:p>
  </w:endnote>
  <w:endnote w:type="continuationSeparator" w:id="0">
    <w:p w14:paraId="654C3795" w14:textId="77777777" w:rsidR="0048193B" w:rsidRDefault="0048193B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1074D3" w:rsidRDefault="001074D3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5DAA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1074D3" w:rsidRDefault="001074D3" w:rsidP="001C7227">
    <w:pPr>
      <w:pStyle w:val="Pidipagina"/>
      <w:ind w:right="360"/>
    </w:pPr>
  </w:p>
  <w:p w14:paraId="0A74EE7A" w14:textId="348F5058" w:rsidR="001074D3" w:rsidRDefault="001074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725E" w14:textId="77777777" w:rsidR="0048193B" w:rsidRDefault="0048193B" w:rsidP="000849D9">
      <w:pPr>
        <w:spacing w:after="0" w:line="240" w:lineRule="auto"/>
      </w:pPr>
      <w:r>
        <w:separator/>
      </w:r>
    </w:p>
  </w:footnote>
  <w:footnote w:type="continuationSeparator" w:id="0">
    <w:p w14:paraId="66F9FBB8" w14:textId="77777777" w:rsidR="0048193B" w:rsidRDefault="0048193B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1074D3" w:rsidRDefault="001074D3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7A367172">
          <wp:extent cx="5760720" cy="251216"/>
          <wp:effectExtent l="0" t="0" r="0" b="317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647CFA" w:rsidRDefault="00647CFA" w:rsidP="002E7B24">
    <w:pPr>
      <w:pStyle w:val="Intestazione"/>
    </w:pPr>
  </w:p>
  <w:p w14:paraId="286A6498" w14:textId="77777777" w:rsidR="00647CFA" w:rsidRDefault="00647CFA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2580">
    <w:abstractNumId w:val="5"/>
  </w:num>
  <w:num w:numId="2" w16cid:durableId="1349403382">
    <w:abstractNumId w:val="4"/>
  </w:num>
  <w:num w:numId="3" w16cid:durableId="1166363427">
    <w:abstractNumId w:val="10"/>
  </w:num>
  <w:num w:numId="4" w16cid:durableId="1991784428">
    <w:abstractNumId w:val="2"/>
  </w:num>
  <w:num w:numId="5" w16cid:durableId="1172794602">
    <w:abstractNumId w:val="1"/>
  </w:num>
  <w:num w:numId="6" w16cid:durableId="1204438644">
    <w:abstractNumId w:val="7"/>
  </w:num>
  <w:num w:numId="7" w16cid:durableId="2121753081">
    <w:abstractNumId w:val="0"/>
  </w:num>
  <w:num w:numId="8" w16cid:durableId="775684464">
    <w:abstractNumId w:val="9"/>
  </w:num>
  <w:num w:numId="9" w16cid:durableId="905608834">
    <w:abstractNumId w:val="8"/>
  </w:num>
  <w:num w:numId="10" w16cid:durableId="904534070">
    <w:abstractNumId w:val="6"/>
  </w:num>
  <w:num w:numId="11" w16cid:durableId="201438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D9"/>
    <w:rsid w:val="00001495"/>
    <w:rsid w:val="00031300"/>
    <w:rsid w:val="000379D5"/>
    <w:rsid w:val="00055E77"/>
    <w:rsid w:val="000715F2"/>
    <w:rsid w:val="000849D9"/>
    <w:rsid w:val="000C1AB6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410945"/>
    <w:rsid w:val="00412905"/>
    <w:rsid w:val="004328CC"/>
    <w:rsid w:val="004531C8"/>
    <w:rsid w:val="004559DE"/>
    <w:rsid w:val="00455DAA"/>
    <w:rsid w:val="0048193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94572"/>
    <w:rsid w:val="009A2228"/>
    <w:rsid w:val="009D44C7"/>
    <w:rsid w:val="00A158F2"/>
    <w:rsid w:val="00A30D1C"/>
    <w:rsid w:val="00A77739"/>
    <w:rsid w:val="00A84273"/>
    <w:rsid w:val="00A9631F"/>
    <w:rsid w:val="00AB5D73"/>
    <w:rsid w:val="00B43863"/>
    <w:rsid w:val="00B83912"/>
    <w:rsid w:val="00BA0466"/>
    <w:rsid w:val="00C07751"/>
    <w:rsid w:val="00C07E86"/>
    <w:rsid w:val="00C233A3"/>
    <w:rsid w:val="00C7468C"/>
    <w:rsid w:val="00CD0835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5FEBD94C-BEA4-432E-A652-2BC414C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CBC6-0955-A244-B157-E9B40A9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9</cp:revision>
  <dcterms:created xsi:type="dcterms:W3CDTF">2025-10-13T14:59:00Z</dcterms:created>
  <dcterms:modified xsi:type="dcterms:W3CDTF">2025-10-13T15:00:00Z</dcterms:modified>
</cp:coreProperties>
</file>